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CellSpacing w:w="0" w:type="dxa"/>
        <w:tblCellMar>
          <w:left w:w="0" w:type="dxa"/>
          <w:right w:w="0" w:type="dxa"/>
        </w:tblCellMar>
        <w:tblLook w:val="04A0" w:firstRow="1" w:lastRow="0" w:firstColumn="1" w:lastColumn="0" w:noHBand="0" w:noVBand="1"/>
      </w:tblPr>
      <w:tblGrid>
        <w:gridCol w:w="4395"/>
        <w:gridCol w:w="5244"/>
      </w:tblGrid>
      <w:tr w:rsidR="00AD3843" w:rsidRPr="00AD3843" w14:paraId="14350D90" w14:textId="77777777" w:rsidTr="00E143C2">
        <w:trPr>
          <w:tblCellSpacing w:w="0" w:type="dxa"/>
          <w:jc w:val="center"/>
        </w:trPr>
        <w:tc>
          <w:tcPr>
            <w:tcW w:w="4395" w:type="dxa"/>
            <w:shd w:val="clear" w:color="auto" w:fill="auto"/>
            <w:tcMar>
              <w:top w:w="0" w:type="dxa"/>
              <w:left w:w="108" w:type="dxa"/>
              <w:bottom w:w="0" w:type="dxa"/>
              <w:right w:w="108" w:type="dxa"/>
            </w:tcMar>
            <w:vAlign w:val="center"/>
            <w:hideMark/>
          </w:tcPr>
          <w:p w14:paraId="58B5CCB2" w14:textId="77777777" w:rsidR="00AD3843" w:rsidRPr="00AD3843" w:rsidRDefault="00AD3843" w:rsidP="00AD3843">
            <w:pPr>
              <w:spacing w:after="0" w:line="240" w:lineRule="auto"/>
              <w:jc w:val="center"/>
              <w:textAlignment w:val="baseline"/>
              <w:rPr>
                <w:rFonts w:eastAsia="Times New Roman"/>
                <w:sz w:val="24"/>
                <w:szCs w:val="24"/>
              </w:rPr>
            </w:pPr>
            <w:r w:rsidRPr="00AD3843">
              <w:rPr>
                <w:rFonts w:ascii="Arial" w:eastAsia="Times New Roman" w:hAnsi="Arial" w:cs="Arial"/>
                <w:b/>
                <w:bCs/>
                <w:sz w:val="24"/>
                <w:szCs w:val="24"/>
                <w:bdr w:val="none" w:sz="0" w:space="0" w:color="auto" w:frame="1"/>
              </w:rPr>
              <w:t>BAN CHẤP HÀNH TRUNG ƯƠNG</w:t>
            </w:r>
          </w:p>
          <w:p w14:paraId="517AB0D0" w14:textId="77777777" w:rsidR="00AD3843" w:rsidRPr="00AD3843" w:rsidRDefault="00AD3843" w:rsidP="00AD3843">
            <w:pPr>
              <w:spacing w:after="0" w:line="240" w:lineRule="auto"/>
              <w:jc w:val="center"/>
              <w:textAlignment w:val="baseline"/>
              <w:rPr>
                <w:rFonts w:eastAsia="Times New Roman"/>
                <w:sz w:val="24"/>
                <w:szCs w:val="24"/>
              </w:rPr>
            </w:pPr>
            <w:r w:rsidRPr="00AD3843">
              <w:rPr>
                <w:rFonts w:ascii="Arial" w:eastAsia="Times New Roman" w:hAnsi="Arial" w:cs="Arial"/>
                <w:b/>
                <w:bCs/>
                <w:sz w:val="24"/>
                <w:szCs w:val="24"/>
                <w:bdr w:val="none" w:sz="0" w:space="0" w:color="auto" w:frame="1"/>
              </w:rPr>
              <w:t>*</w:t>
            </w:r>
          </w:p>
          <w:p w14:paraId="6ADE07D5" w14:textId="77777777" w:rsidR="00AD3843" w:rsidRPr="00AD3843" w:rsidRDefault="00AD3843" w:rsidP="00AD3843">
            <w:pPr>
              <w:spacing w:after="0" w:line="240" w:lineRule="auto"/>
              <w:jc w:val="center"/>
              <w:textAlignment w:val="baseline"/>
              <w:rPr>
                <w:rFonts w:eastAsia="Times New Roman"/>
                <w:sz w:val="24"/>
                <w:szCs w:val="24"/>
              </w:rPr>
            </w:pPr>
            <w:r w:rsidRPr="00AD3843">
              <w:rPr>
                <w:rFonts w:ascii="Arial" w:eastAsia="Times New Roman" w:hAnsi="Arial" w:cs="Arial"/>
                <w:sz w:val="24"/>
                <w:szCs w:val="24"/>
                <w:bdr w:val="none" w:sz="0" w:space="0" w:color="auto" w:frame="1"/>
              </w:rPr>
              <w:t>Số:03</w:t>
            </w:r>
            <w:r w:rsidRPr="00AD3843">
              <w:rPr>
                <w:rFonts w:ascii="Arial" w:eastAsia="Times New Roman" w:hAnsi="Arial" w:cs="Arial"/>
                <w:b/>
                <w:bCs/>
                <w:sz w:val="24"/>
                <w:szCs w:val="24"/>
                <w:bdr w:val="none" w:sz="0" w:space="0" w:color="auto" w:frame="1"/>
              </w:rPr>
              <w:t>-</w:t>
            </w:r>
            <w:r w:rsidRPr="00AD3843">
              <w:rPr>
                <w:rFonts w:ascii="Arial" w:eastAsia="Times New Roman" w:hAnsi="Arial" w:cs="Arial"/>
                <w:sz w:val="24"/>
                <w:szCs w:val="24"/>
                <w:bdr w:val="none" w:sz="0" w:space="0" w:color="auto" w:frame="1"/>
              </w:rPr>
              <w:t>CT/TW</w:t>
            </w:r>
          </w:p>
        </w:tc>
        <w:tc>
          <w:tcPr>
            <w:tcW w:w="5244" w:type="dxa"/>
            <w:shd w:val="clear" w:color="auto" w:fill="auto"/>
            <w:tcMar>
              <w:top w:w="0" w:type="dxa"/>
              <w:left w:w="108" w:type="dxa"/>
              <w:bottom w:w="0" w:type="dxa"/>
              <w:right w:w="108" w:type="dxa"/>
            </w:tcMar>
            <w:vAlign w:val="center"/>
            <w:hideMark/>
          </w:tcPr>
          <w:p w14:paraId="62DF6246" w14:textId="77777777" w:rsidR="00AD3843" w:rsidRPr="00AD3843" w:rsidRDefault="00AD3843" w:rsidP="00AD3843">
            <w:pPr>
              <w:spacing w:after="0" w:line="240" w:lineRule="auto"/>
              <w:jc w:val="center"/>
              <w:textAlignment w:val="baseline"/>
              <w:rPr>
                <w:rFonts w:eastAsia="Times New Roman"/>
                <w:sz w:val="24"/>
                <w:szCs w:val="24"/>
              </w:rPr>
            </w:pPr>
            <w:r w:rsidRPr="00AD3843">
              <w:rPr>
                <w:rFonts w:ascii="Arial" w:eastAsia="Times New Roman" w:hAnsi="Arial" w:cs="Arial"/>
                <w:b/>
                <w:bCs/>
                <w:sz w:val="24"/>
                <w:szCs w:val="24"/>
                <w:bdr w:val="none" w:sz="0" w:space="0" w:color="auto" w:frame="1"/>
              </w:rPr>
              <w:t>ĐẢNG CỘNG SẢN VIỆT NAM</w:t>
            </w:r>
          </w:p>
          <w:p w14:paraId="2ECA06D9" w14:textId="77777777" w:rsidR="00AD3843" w:rsidRPr="00AD3843" w:rsidRDefault="00AD3843" w:rsidP="00AD3843">
            <w:pPr>
              <w:spacing w:after="0" w:line="240" w:lineRule="auto"/>
              <w:jc w:val="center"/>
              <w:textAlignment w:val="baseline"/>
              <w:rPr>
                <w:rFonts w:eastAsia="Times New Roman"/>
                <w:sz w:val="24"/>
                <w:szCs w:val="24"/>
              </w:rPr>
            </w:pPr>
            <w:r w:rsidRPr="00AD3843">
              <w:rPr>
                <w:rFonts w:eastAsia="Times New Roman"/>
                <w:sz w:val="24"/>
                <w:szCs w:val="24"/>
                <w:bdr w:val="none" w:sz="0" w:space="0" w:color="auto" w:frame="1"/>
              </w:rPr>
              <w:br/>
            </w:r>
          </w:p>
          <w:p w14:paraId="1775907F" w14:textId="77777777" w:rsidR="00AD3843" w:rsidRPr="00AD3843" w:rsidRDefault="00AD3843" w:rsidP="00AD3843">
            <w:pPr>
              <w:spacing w:after="0" w:line="240" w:lineRule="auto"/>
              <w:jc w:val="right"/>
              <w:textAlignment w:val="baseline"/>
              <w:rPr>
                <w:rFonts w:eastAsia="Times New Roman"/>
                <w:sz w:val="24"/>
                <w:szCs w:val="24"/>
              </w:rPr>
            </w:pPr>
            <w:r w:rsidRPr="00AD3843">
              <w:rPr>
                <w:rFonts w:ascii="Arial" w:eastAsia="Times New Roman" w:hAnsi="Arial" w:cs="Arial"/>
                <w:i/>
                <w:iCs/>
                <w:sz w:val="24"/>
                <w:szCs w:val="24"/>
                <w:bdr w:val="none" w:sz="0" w:space="0" w:color="auto" w:frame="1"/>
              </w:rPr>
              <w:t>Hà Nội, ngày 14 tháng 5 năm 2011</w:t>
            </w:r>
          </w:p>
        </w:tc>
      </w:tr>
    </w:tbl>
    <w:p w14:paraId="52561458" w14:textId="77777777" w:rsidR="00AD3843" w:rsidRPr="00AD3843" w:rsidRDefault="00AD3843" w:rsidP="00AD3843">
      <w:pPr>
        <w:shd w:val="clear" w:color="auto" w:fill="FFFFFF"/>
        <w:spacing w:after="0" w:line="240" w:lineRule="auto"/>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w:t>
      </w:r>
    </w:p>
    <w:p w14:paraId="4B57554D" w14:textId="77777777" w:rsidR="00AD3843" w:rsidRPr="00AD3843" w:rsidRDefault="00AD3843" w:rsidP="00AD3843">
      <w:pPr>
        <w:shd w:val="clear" w:color="auto" w:fill="FFFFFF"/>
        <w:spacing w:after="0" w:line="240" w:lineRule="auto"/>
        <w:jc w:val="center"/>
        <w:textAlignment w:val="baseline"/>
        <w:rPr>
          <w:rFonts w:ascii="Arial" w:eastAsia="Times New Roman" w:hAnsi="Arial" w:cs="Arial"/>
          <w:color w:val="363636"/>
          <w:sz w:val="24"/>
          <w:szCs w:val="24"/>
        </w:rPr>
      </w:pPr>
      <w:r w:rsidRPr="00AD3843">
        <w:rPr>
          <w:rFonts w:ascii="Arial" w:eastAsia="Times New Roman" w:hAnsi="Arial" w:cs="Arial"/>
          <w:b/>
          <w:bCs/>
          <w:color w:val="363636"/>
          <w:sz w:val="24"/>
          <w:szCs w:val="24"/>
          <w:bdr w:val="none" w:sz="0" w:space="0" w:color="auto" w:frame="1"/>
        </w:rPr>
        <w:t>CHỈ THỊ</w:t>
      </w:r>
    </w:p>
    <w:p w14:paraId="707042F0" w14:textId="77777777" w:rsidR="00AD3843" w:rsidRPr="00AD3843" w:rsidRDefault="00AD3843" w:rsidP="00AD3843">
      <w:pPr>
        <w:shd w:val="clear" w:color="auto" w:fill="FFFFFF"/>
        <w:spacing w:after="0" w:line="240" w:lineRule="auto"/>
        <w:jc w:val="center"/>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CỦA BỘ CHÍNH TRỊ</w:t>
      </w:r>
    </w:p>
    <w:p w14:paraId="1DC4D478" w14:textId="77777777" w:rsidR="00AD3843" w:rsidRPr="00AD3843" w:rsidRDefault="00AD3843" w:rsidP="00AD3843">
      <w:pPr>
        <w:shd w:val="clear" w:color="auto" w:fill="FFFFFF"/>
        <w:spacing w:after="0" w:line="240" w:lineRule="auto"/>
        <w:jc w:val="center"/>
        <w:textAlignment w:val="baseline"/>
        <w:rPr>
          <w:rFonts w:ascii="Arial" w:eastAsia="Times New Roman" w:hAnsi="Arial" w:cs="Arial"/>
          <w:color w:val="363636"/>
          <w:sz w:val="24"/>
          <w:szCs w:val="24"/>
        </w:rPr>
      </w:pPr>
      <w:r w:rsidRPr="00AD3843">
        <w:rPr>
          <w:rFonts w:ascii="Arial" w:eastAsia="Times New Roman" w:hAnsi="Arial" w:cs="Arial"/>
          <w:b/>
          <w:bCs/>
          <w:color w:val="363636"/>
          <w:sz w:val="24"/>
          <w:szCs w:val="24"/>
          <w:bdr w:val="none" w:sz="0" w:space="0" w:color="auto" w:frame="1"/>
        </w:rPr>
        <w:t>Về tiếp tục đẩy mạnh việc học tập và làm theo tấm gương đạo đức Hồ Chí Minh</w:t>
      </w:r>
    </w:p>
    <w:p w14:paraId="2317CCFF" w14:textId="77777777" w:rsidR="00AD3843" w:rsidRPr="00AD3843" w:rsidRDefault="00AD3843" w:rsidP="00AD3843">
      <w:pPr>
        <w:shd w:val="clear" w:color="auto" w:fill="FFFFFF"/>
        <w:spacing w:after="0" w:line="240" w:lineRule="auto"/>
        <w:jc w:val="center"/>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br/>
      </w:r>
    </w:p>
    <w:p w14:paraId="63201E76"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Thực hiện Nghị quyết Đại hội đại biểu toàn quốc lần thứ X của Đảng, Bộ Chính trị (khóa X) đã ban hành Chỉ thị 06-CT/TW, ngày 07-11-2006 về “Tổ chức cuộc vận động “Học tập và làm theo tấm gương đạo đức Hồ Chí Minh”. Hơn 4 năm qua, với sự chỉ đạo thường xuyên, chặt chẽ của các cấp ủy và tổ chức đảng; sự tham gia tích cực của cán bộ, đảng viên và nhân dân, cuộc vận động đã đạt được kết quả bước đầu, góp phần vào công tác xây dựng, chỉnh đốn Đảng và thực hiện thắng lợi Nghị quyết Đại hội X của Đảng. Kết quả triển khai cuộc vận động đã khẳng định việc học tập và làm theo tấm gương đạo đức Hồ Chí Minh là rất quan trọng và cần thiết, chẳng những đáp ứng yêu cầu cấp bách trước mắt mà còn có ý nghĩa cơ bản, lâu dài đối với sự nghiệp cách mạng của Đảng và nhân dân ta.</w:t>
      </w:r>
    </w:p>
    <w:p w14:paraId="623D8E2D"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Để tiếp tục đẩy mạnh việc học tập và làm theo tấm gương đạo đức Hồ Chí Minh theo tinh thần Nghị quyết Đại hội XI của Đảng, Bộ Chính trị yêu cầu các cấp ủy, tổ chức đảng, các ngành, các cấp nắm vững, quán triệt và thực hiện tốt một số vấn đề sau đây:</w:t>
      </w:r>
    </w:p>
    <w:p w14:paraId="6E84311B" w14:textId="77777777" w:rsidR="00AD3843" w:rsidRPr="00AD3843" w:rsidRDefault="00AD3843" w:rsidP="00AD3843">
      <w:pPr>
        <w:shd w:val="clear" w:color="auto" w:fill="FFFFFF"/>
        <w:spacing w:after="0" w:line="240" w:lineRule="auto"/>
        <w:textAlignment w:val="baseline"/>
        <w:rPr>
          <w:rFonts w:ascii="Arial" w:eastAsia="Times New Roman" w:hAnsi="Arial" w:cs="Arial"/>
          <w:color w:val="363636"/>
          <w:sz w:val="24"/>
          <w:szCs w:val="24"/>
        </w:rPr>
      </w:pPr>
      <w:r w:rsidRPr="00AD3843">
        <w:rPr>
          <w:rFonts w:ascii="Arial" w:eastAsia="Times New Roman" w:hAnsi="Arial" w:cs="Arial"/>
          <w:b/>
          <w:bCs/>
          <w:color w:val="363636"/>
          <w:sz w:val="24"/>
          <w:szCs w:val="24"/>
          <w:bdr w:val="none" w:sz="0" w:space="0" w:color="auto" w:frame="1"/>
        </w:rPr>
        <w:t>1- Mục đích</w:t>
      </w:r>
    </w:p>
    <w:p w14:paraId="605CD410"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Phát huy kết quả đã đạt được, khắc phục những hạn chế trong việc thực hiện cuộc vận động trong thời gian qua, tiếp tục làm cho toàn Đảng, toàn dân, toàn quân nhận thức sâu sắc những nội dung cơ bản và giá trị to lớn của tư tưởng, đạo đức và phong cách Hồ Chí Minh; tạo chuyển biến mạnh mẽ và sâu rộng hơn nữa về ý thức tu dưỡng, rèn luyện, nâng cao đạo đức cách mạng, đấu tranh chống chủ nghĩa cá nhân, cơ hội thực dụng, đẩy lùi sự suy thoái về tư tưởng chính trị, đạo đức, lối sống và các tệ nạn tham nhũng, tiêu cực; góp phần thực hiện thắng lợi Nghị quyết Đại hội XI của Đảng.</w:t>
      </w:r>
    </w:p>
    <w:p w14:paraId="6440625F"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b/>
          <w:bCs/>
          <w:color w:val="363636"/>
          <w:sz w:val="24"/>
          <w:szCs w:val="24"/>
          <w:bdr w:val="none" w:sz="0" w:space="0" w:color="auto" w:frame="1"/>
        </w:rPr>
        <w:t>2- Yêu cầu</w:t>
      </w:r>
    </w:p>
    <w:p w14:paraId="150ABA52"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Tạo sự thống nhất cao về nhận thức trong Đảng và xã hội về ý nghĩa, tầm quan trọng của việc học tập và làm theo tấm gương đạo đức Hồ Chí Minh, coi đây là công việc thường xuyên hằng ngày, là trách nhiệm cụ thể thiết thân của mọi cán bộ, đảng viên và nhân dân.</w:t>
      </w:r>
    </w:p>
    <w:p w14:paraId="579A8D2A"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Lãnh đạo, chỉ đạo đồng bộ, chặt chẽ, kết hợp việc tổ chức học tập, làm theo tấm gương đạo đức Hồ Chí Minh với công tác xây dựng , chỉnh đốn Đảng, các cuộc vận động và các phong trào đang triển khai trong Đảng và trong xã hội, góp phần đẩy mạnh thực hiện nhiệm vụ chính trị của từng ngành, từng địa phương, cơ quan, đơn vị. Kết hợp giữa xây và chống.</w:t>
      </w:r>
    </w:p>
    <w:p w14:paraId="5F2678FF"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Đề cao ý thức tự giác tu dưỡng, rèn luyện của mỗi người, nhất là vai trò gương mẫu của cán bộ chủ chốt các cấp, của người đứng đầu, của cấp trên; đồng thời, thường xuyên kiểm tra, đôn đốc thực hiện nghiêm các quy định của tổ chức đảng, pháp luật của Nhà nước, nội quy, quy định của cơ quan, đơn vị và sự giám sát của nhân dân.</w:t>
      </w:r>
    </w:p>
    <w:p w14:paraId="61FCA853"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b/>
          <w:bCs/>
          <w:color w:val="363636"/>
          <w:sz w:val="24"/>
          <w:szCs w:val="24"/>
          <w:bdr w:val="none" w:sz="0" w:space="0" w:color="auto" w:frame="1"/>
        </w:rPr>
        <w:t>3- Các nội dung chủ yếu cần thực hiện</w:t>
      </w:r>
    </w:p>
    <w:p w14:paraId="34D26240"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Tiếp tục tổ chức học tập tư tưởng và tấm gương đạo đức Hồ Chí Minh, bao gồm cả việc học tập và làm theo tác phong, phong cách của Bác, thể hiện cụ thể trong công việc thường ngày, trong quan hệ với nhân dân, đồng chí, đồng nghiệp... Đặc biệt nhấn mạnh việc làm theo qua những hành vi thiết thực, cụ thể.</w:t>
      </w:r>
    </w:p>
    <w:p w14:paraId="061012E3"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lastRenderedPageBreak/>
        <w:t>- Tiếp tục xây dựng và tổ chức thực hiện những chuẩn mực đạo đức theo tư tưởng và tấm gương Hồ Chí Minh, phù hợp với đặc điểm hoạt động của từng ngành, địa phương, cơ quan, đơn vị trong giai đoạn hiện nay.</w:t>
      </w:r>
    </w:p>
    <w:p w14:paraId="31B13594"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Quy định rõ trách nhiệm tự giác đi đầu, gương mẫu của cán bộ lãnh đạo chủ chốt, người đứng đầu các cấp, của cán bộ, đảng viên. Xây dựng cơ chế kiểm tra, giám sát của tổ chức đảng và nhân dân đối với việc tu dưỡng, rèn luyện đạo đức của cán bộ, đảng viên.</w:t>
      </w:r>
    </w:p>
    <w:p w14:paraId="7661418F"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Đưa việc học tập và làm theo tấm gương đạo đức Hồ Chí Minh vào sinh hoạt thường xuyên của tổ chức đảng, chính quyền, đoàn thể. Xây dựng và tổ chức thực hiện tốt chương trình hành động của tổ chức đảng, cơ quan, đơn vị; chương trình tu dưỡng, rèn luyện của cán bộ, đảng viên, công chức, viên chức. Lấy kết quả học tập và làm theo tấm gương đạo đức Hồ Chí Minh là một trong những tiêu chuẩn đánh giá, bình xét, phân loại đảng viên, tổ chức đảng hằng năm.</w:t>
      </w:r>
    </w:p>
    <w:p w14:paraId="0C1D0024"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Tiếp tục chỉ đạo việc biên soạn chương trình, giáo trình về đạo đức Hồ Chí Minh để giảng dạy ở các cấp học, bậc học thuộc hệ thống giáo dục quốc dân và đào tạo, bồi dưỡng cán bộ ở các học viện, trường chính trị, trường đào tạo, bồi dưỡng cán bộ các cấp.</w:t>
      </w:r>
    </w:p>
    <w:p w14:paraId="4F9B1BDA"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Coi trọng việc giáo dục đạo đức, lối sống cho thế hệ trẻ. Cấp ủy, chính quyền, Mặt trận Tổ quốc và đoàn thể các cấp có biện pháp cụ thể để tổ chức, chỉ đạo thực hiện hiện tốt việc giáo dục đạo đức, lối sống cho thế hệ trẻ theo tấm gương đạo đức Bác Hồ.</w:t>
      </w:r>
    </w:p>
    <w:p w14:paraId="0C884B92"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Định kỳ tổ chức kiểm tra, đôn đốc, sơ kết, tổng kết, phát hiện và biểu dương các điển hình tiên tiến trong học tập và làm theo tấm gương đạo đức Hồ Chí Minh. Phê bình, uốn nắn các nhận thức lệch lạc, các việc làm thiếu gương mẫu, nói không đi đôi với làm. Đấu tranh với các quan điểm sai trái, các biểu hiện quan liêu, tham nhũng, lãng phí.</w:t>
      </w:r>
    </w:p>
    <w:p w14:paraId="63C7DD8E"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Tiếp tục đẩy mạnh việc tuyên truyền về tấm gương đạo đức Hồ Chí Minh, về các điển hình tiên tiến trong học tập và làm theo tấm gương đạo đức Bác Hồ bằng nhiều hình thức phong phú và sinh động.</w:t>
      </w:r>
    </w:p>
    <w:p w14:paraId="058B6F4D"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b/>
          <w:bCs/>
          <w:color w:val="363636"/>
          <w:sz w:val="24"/>
          <w:szCs w:val="24"/>
          <w:bdr w:val="none" w:sz="0" w:space="0" w:color="auto" w:frame="1"/>
        </w:rPr>
        <w:t>4- Tổ chức thực hiện</w:t>
      </w:r>
    </w:p>
    <w:p w14:paraId="513980DD"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Việc học tập và làm theo tấm gương đạo đức Hồ Chí Minh do cấp ủy đảng các cấp, trực tiếp là ban thường vụ cấp ủy, đồng chí bí thư cấp ủy chỉ đạo. Không thành lập ban chỉ đạo các cấp.</w:t>
      </w:r>
    </w:p>
    <w:p w14:paraId="2611785A"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Ban Bí thư Trung ương Đảng, đồng chí Tổng Bí thư chỉ đạo việc học tập và làm theo tấm gương đạo đức Hồ Chí Minh trong toàn Đảng và xã hội.</w:t>
      </w:r>
    </w:p>
    <w:p w14:paraId="0742D4EA"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Căn cứ Chỉ thị của Bộ Chính trị, các tỉnh ủy, thành ủy, ban cán sự đảng, đảng đoàn lãnh đạo tổ chức và hướng dẫn việc thường xuyên học tập và làm theo tấm gương đạo đức Hồ Chí Minh ở địa phương, ngành, tổ chức, cơ quan, đơn vị mình.</w:t>
      </w:r>
    </w:p>
    <w:p w14:paraId="29EEBBAC"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Giao Ban Tuyên giáo Trung ương là cơ quan thường trực, có bộ phận giúp việc với một số cán bộ chuyên trách, giúp Ban Bí thư trong việc tổ chức, chỉ đạo học tập và làm theo tấm gương đạo đức Hồ Chí Minh. Tại các ngành, địa phương, cơ quan, đơn vị, thành lập bộ phận giúp việc tinh gọn, nòng cốt là một số cán bộ của ban tuyên giáo để giúp ban tuyên giáo tham mưu, giúp thường vụ cấp ủy chỉ đạo thực hiện chủ trương này.</w:t>
      </w:r>
    </w:p>
    <w:p w14:paraId="46A284D5"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Căn cứ Chỉ thị này, Ban Tuyên giáo Trung ương chủ trì phối hợp với các cơ quan xây dựng chương trình, nội dung học tập; cụ thể hóa các chuẩn mực đạo đức cách mạng và hướng dẫn thực hiện; đưa nội dung học tập và làm theo tấm gương đạo đức Hồ Chí Minh vào sinh hoạt hằng tháng của các tổ chức đảng, chính quyền, đoàn thể, vào chương trình giảng dạy của các nhà trường; nội dung, phương thức kiểm tra, đánh giá kết quả; kế hoạch sơ kết, tổng kết; quy chế phối hợp chỉ đạo, quy định về trách nhiệm nêu gương của cán bộ lãnh đạo.... trình Ban Bí thư ban hành. Đồng thời, chỉ đạo các cơ quan thông tin đại chúng, đội ngũ báo cáo viên thường xuyên tuyên truyền về tư tưởng, tấm gương đạo đức Hồ Chí Minh, về các điển hình tiên tiến, người tốt, việc tốt trong học tập và làm theo tấm gương đạo đức của Bác.</w:t>
      </w:r>
    </w:p>
    <w:p w14:paraId="63CEC6EE"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lastRenderedPageBreak/>
        <w:t>Chỉ thị này phổ biến đến chi bộ đảng.</w:t>
      </w:r>
    </w:p>
    <w:p w14:paraId="0EB2735A" w14:textId="77777777" w:rsidR="00AD3843" w:rsidRPr="00AD3843" w:rsidRDefault="00AD3843" w:rsidP="00AD3843">
      <w:pPr>
        <w:shd w:val="clear" w:color="auto" w:fill="FFFFFF"/>
        <w:spacing w:after="0" w:line="240" w:lineRule="auto"/>
        <w:jc w:val="both"/>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br/>
      </w:r>
    </w:p>
    <w:tbl>
      <w:tblPr>
        <w:tblW w:w="9198" w:type="dxa"/>
        <w:tblCellSpacing w:w="0" w:type="dxa"/>
        <w:shd w:val="clear" w:color="auto" w:fill="FFFFFF"/>
        <w:tblCellMar>
          <w:left w:w="0" w:type="dxa"/>
          <w:right w:w="0" w:type="dxa"/>
        </w:tblCellMar>
        <w:tblLook w:val="04A0" w:firstRow="1" w:lastRow="0" w:firstColumn="1" w:lastColumn="0" w:noHBand="0" w:noVBand="1"/>
      </w:tblPr>
      <w:tblGrid>
        <w:gridCol w:w="3402"/>
        <w:gridCol w:w="5796"/>
      </w:tblGrid>
      <w:tr w:rsidR="00AD3843" w:rsidRPr="00AD3843" w14:paraId="02D4FE2D" w14:textId="77777777" w:rsidTr="00AD3843">
        <w:trPr>
          <w:tblCellSpacing w:w="0" w:type="dxa"/>
        </w:trPr>
        <w:tc>
          <w:tcPr>
            <w:tcW w:w="3402" w:type="dxa"/>
            <w:shd w:val="clear" w:color="auto" w:fill="auto"/>
            <w:tcMar>
              <w:top w:w="0" w:type="dxa"/>
              <w:left w:w="108" w:type="dxa"/>
              <w:bottom w:w="0" w:type="dxa"/>
              <w:right w:w="108" w:type="dxa"/>
            </w:tcMar>
            <w:vAlign w:val="center"/>
            <w:hideMark/>
          </w:tcPr>
          <w:p w14:paraId="6F0003D5" w14:textId="77777777" w:rsidR="00AD3843" w:rsidRPr="00AD3843" w:rsidRDefault="00AD3843" w:rsidP="00AD3843">
            <w:pPr>
              <w:spacing w:after="0" w:line="240" w:lineRule="auto"/>
              <w:rPr>
                <w:rFonts w:ascii="Arial" w:eastAsia="Times New Roman" w:hAnsi="Arial" w:cs="Arial"/>
                <w:color w:val="363636"/>
                <w:sz w:val="24"/>
                <w:szCs w:val="24"/>
              </w:rPr>
            </w:pPr>
          </w:p>
        </w:tc>
        <w:tc>
          <w:tcPr>
            <w:tcW w:w="5796" w:type="dxa"/>
            <w:shd w:val="clear" w:color="auto" w:fill="auto"/>
            <w:tcMar>
              <w:top w:w="0" w:type="dxa"/>
              <w:left w:w="108" w:type="dxa"/>
              <w:bottom w:w="0" w:type="dxa"/>
              <w:right w:w="108" w:type="dxa"/>
            </w:tcMar>
            <w:vAlign w:val="center"/>
            <w:hideMark/>
          </w:tcPr>
          <w:p w14:paraId="6E9FEECC" w14:textId="77777777" w:rsidR="00AD3843" w:rsidRPr="00AD3843" w:rsidRDefault="00AD3843" w:rsidP="00AD3843">
            <w:pPr>
              <w:spacing w:after="0" w:line="240" w:lineRule="auto"/>
              <w:jc w:val="center"/>
              <w:textAlignment w:val="baseline"/>
              <w:rPr>
                <w:rFonts w:ascii="Arial" w:eastAsia="Times New Roman" w:hAnsi="Arial" w:cs="Arial"/>
                <w:color w:val="363636"/>
                <w:sz w:val="24"/>
                <w:szCs w:val="24"/>
              </w:rPr>
            </w:pPr>
            <w:r w:rsidRPr="00AD3843">
              <w:rPr>
                <w:rFonts w:ascii="Arial" w:eastAsia="Times New Roman" w:hAnsi="Arial" w:cs="Arial"/>
                <w:b/>
                <w:bCs/>
                <w:color w:val="363636"/>
                <w:sz w:val="24"/>
                <w:szCs w:val="24"/>
                <w:bdr w:val="none" w:sz="0" w:space="0" w:color="auto" w:frame="1"/>
              </w:rPr>
              <w:t>T/M BỘ CHÍNH TRỊ</w:t>
            </w:r>
          </w:p>
          <w:p w14:paraId="08990205" w14:textId="77777777" w:rsidR="00AD3843" w:rsidRPr="00AD3843" w:rsidRDefault="00AD3843" w:rsidP="00AD3843">
            <w:pPr>
              <w:spacing w:after="0" w:line="240" w:lineRule="auto"/>
              <w:jc w:val="center"/>
              <w:textAlignment w:val="baseline"/>
              <w:rPr>
                <w:rFonts w:ascii="Arial" w:eastAsia="Times New Roman" w:hAnsi="Arial" w:cs="Arial"/>
                <w:color w:val="363636"/>
                <w:sz w:val="24"/>
                <w:szCs w:val="24"/>
              </w:rPr>
            </w:pPr>
            <w:r w:rsidRPr="00AD3843">
              <w:rPr>
                <w:rFonts w:ascii="Arial" w:eastAsia="Times New Roman" w:hAnsi="Arial" w:cs="Arial"/>
                <w:b/>
                <w:bCs/>
                <w:color w:val="363636"/>
                <w:sz w:val="24"/>
                <w:szCs w:val="24"/>
                <w:bdr w:val="none" w:sz="0" w:space="0" w:color="auto" w:frame="1"/>
              </w:rPr>
              <w:t>TỔNG BÍ THƯ</w:t>
            </w:r>
          </w:p>
          <w:p w14:paraId="70EF41AC" w14:textId="77777777" w:rsidR="00AD3843" w:rsidRPr="00AD3843" w:rsidRDefault="00AD3843" w:rsidP="00AD3843">
            <w:pPr>
              <w:spacing w:after="0" w:line="240" w:lineRule="auto"/>
              <w:jc w:val="center"/>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(đã ký)</w:t>
            </w:r>
          </w:p>
          <w:p w14:paraId="25B744BE" w14:textId="77777777" w:rsidR="00AD3843" w:rsidRPr="00AD3843" w:rsidRDefault="00AD3843" w:rsidP="00AD3843">
            <w:pPr>
              <w:spacing w:after="0" w:line="240" w:lineRule="auto"/>
              <w:jc w:val="center"/>
              <w:textAlignment w:val="baseline"/>
              <w:rPr>
                <w:rFonts w:ascii="Arial" w:eastAsia="Times New Roman" w:hAnsi="Arial" w:cs="Arial"/>
                <w:color w:val="363636"/>
                <w:sz w:val="24"/>
                <w:szCs w:val="24"/>
              </w:rPr>
            </w:pPr>
            <w:r w:rsidRPr="00AD3843">
              <w:rPr>
                <w:rFonts w:ascii="Arial" w:eastAsia="Times New Roman" w:hAnsi="Arial" w:cs="Arial"/>
                <w:color w:val="363636"/>
                <w:sz w:val="24"/>
                <w:szCs w:val="24"/>
                <w:bdr w:val="none" w:sz="0" w:space="0" w:color="auto" w:frame="1"/>
              </w:rPr>
              <w:t> </w:t>
            </w:r>
            <w:r w:rsidRPr="00AD3843">
              <w:rPr>
                <w:rFonts w:ascii="Arial" w:eastAsia="Times New Roman" w:hAnsi="Arial" w:cs="Arial"/>
                <w:b/>
                <w:bCs/>
                <w:color w:val="363636"/>
                <w:sz w:val="24"/>
                <w:szCs w:val="24"/>
                <w:bdr w:val="none" w:sz="0" w:space="0" w:color="auto" w:frame="1"/>
              </w:rPr>
              <w:t>Nguyễn Phú Trọng</w:t>
            </w:r>
          </w:p>
        </w:tc>
      </w:tr>
    </w:tbl>
    <w:p w14:paraId="16762A63" w14:textId="7844184F" w:rsidR="006F4F40" w:rsidRDefault="006F4F40"/>
    <w:p w14:paraId="67659A24" w14:textId="44A76BD7" w:rsidR="00AD3843" w:rsidRDefault="00AD3843">
      <w:r>
        <w:t>(</w:t>
      </w:r>
      <w:r w:rsidRPr="00AD3843">
        <w:t>https://tulieuvankien.dangcongsan.vn/he-thong-van-ban/van-ban-cua-dang/chi-thi-so-03-cttw-ngay-1452011-cua-bo-chinh-tri-ve-tiep-tuc-day-manh-viec-hoc-tap-va-lam-theo-tam-guong-dao-duc-3326</w:t>
      </w:r>
      <w:r>
        <w:t>)</w:t>
      </w:r>
    </w:p>
    <w:sectPr w:rsidR="00AD3843" w:rsidSect="00D62F19">
      <w:pgSz w:w="11907" w:h="16840" w:code="9"/>
      <w:pgMar w:top="1134" w:right="964" w:bottom="1134" w:left="1701" w:header="680"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43"/>
    <w:rsid w:val="006F4F40"/>
    <w:rsid w:val="00AD3843"/>
    <w:rsid w:val="00D62F19"/>
    <w:rsid w:val="00E1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F5F3"/>
  <w15:chartTrackingRefBased/>
  <w15:docId w15:val="{84AF45B0-54B1-4D07-A889-C0D5E6E4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843"/>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AD3843"/>
    <w:rPr>
      <w:b/>
      <w:bCs/>
    </w:rPr>
  </w:style>
  <w:style w:type="character" w:styleId="Emphasis">
    <w:name w:val="Emphasis"/>
    <w:basedOn w:val="DefaultParagraphFont"/>
    <w:uiPriority w:val="20"/>
    <w:qFormat/>
    <w:rsid w:val="00AD3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DŨ</dc:creator>
  <cp:keywords/>
  <dc:description/>
  <cp:lastModifiedBy>NGUYỄN DŨ</cp:lastModifiedBy>
  <cp:revision>2</cp:revision>
  <dcterms:created xsi:type="dcterms:W3CDTF">2022-02-22T00:43:00Z</dcterms:created>
  <dcterms:modified xsi:type="dcterms:W3CDTF">2022-02-22T00:44:00Z</dcterms:modified>
</cp:coreProperties>
</file>